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BE72CE">
        <w:rPr>
          <w:rFonts w:ascii="Times New Roman" w:hAnsi="Times New Roman" w:cs="Times New Roman"/>
          <w:sz w:val="34"/>
          <w:szCs w:val="34"/>
        </w:rPr>
        <w:t>SA 320(REVISED) MATERIALITY IN PLANNING AND PERFORMING AN AUDIT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72CE">
        <w:rPr>
          <w:rFonts w:ascii="Times New Roman" w:hAnsi="Times New Roman" w:cs="Times New Roman"/>
          <w:b/>
        </w:rPr>
        <w:t>Introduction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72CE">
        <w:rPr>
          <w:rFonts w:ascii="Times New Roman" w:hAnsi="Times New Roman" w:cs="Times New Roman"/>
          <w:b/>
        </w:rPr>
        <w:t>Scope of this SA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apply the concept of materiality in planning and performing an audit of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 xml:space="preserve">financial statements. SA </w:t>
      </w:r>
      <w:proofErr w:type="gramStart"/>
      <w:r w:rsidRPr="00BE72CE">
        <w:rPr>
          <w:rFonts w:ascii="Times New Roman" w:hAnsi="Times New Roman" w:cs="Times New Roman"/>
          <w:sz w:val="20"/>
          <w:szCs w:val="20"/>
        </w:rPr>
        <w:t>4503,</w:t>
      </w:r>
      <w:proofErr w:type="gramEnd"/>
      <w:r w:rsidRPr="00BE72CE">
        <w:rPr>
          <w:rFonts w:ascii="Times New Roman" w:hAnsi="Times New Roman" w:cs="Times New Roman"/>
          <w:sz w:val="20"/>
          <w:szCs w:val="20"/>
        </w:rPr>
        <w:t xml:space="preserve"> explains how materiality is applied in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evaluating the effect of identified misstatements on the audit and of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uncorrected misstatements, if any, on the financial statements.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72CE">
        <w:rPr>
          <w:rFonts w:ascii="Times New Roman" w:hAnsi="Times New Roman" w:cs="Times New Roman"/>
          <w:b/>
          <w:sz w:val="20"/>
          <w:szCs w:val="20"/>
        </w:rPr>
        <w:t>Materiality in the Context of an Audit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2. Financial reporting frameworks often discuss the concept of materiality in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context of the preparation and presentation of financial statements.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Although financial reporting frameworks may discuss materiality in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different terms, they generally explain that: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Misstatements, including omissions, are considered to be material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if they, individually or in the aggregate, could reasonably be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expected to influence the economic decisions of users taken on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basis of the financial statements;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Judgments about materiality are made in the light of surrounding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circumstances, and are affected by the size or nature of a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misstatement, or a combination of both; and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Judgments about matters that are material to users of the financial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are based on a consideration of the common financial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 xml:space="preserve">information needs of users as a group.4 </w:t>
      </w:r>
      <w:proofErr w:type="gramStart"/>
      <w:r w:rsidRPr="00BE72C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BE72CE">
        <w:rPr>
          <w:rFonts w:ascii="Times New Roman" w:hAnsi="Times New Roman" w:cs="Times New Roman"/>
          <w:sz w:val="20"/>
          <w:szCs w:val="20"/>
        </w:rPr>
        <w:t xml:space="preserve"> possible effect of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on specific individual users, whose needs may vary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widely, is not considered.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3. Such a discussion, if present in the applicable financial reporting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framework, provides a frame of reference to the auditor in determining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for the audit. If the applicable financial reporting framework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does not include a discussion of the concept of materiality, the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 xml:space="preserve">characteristics referred to in </w:t>
      </w:r>
      <w:proofErr w:type="gramStart"/>
      <w:r w:rsidRPr="00BE72CE">
        <w:rPr>
          <w:rFonts w:ascii="Times New Roman" w:hAnsi="Times New Roman" w:cs="Times New Roman"/>
          <w:sz w:val="20"/>
          <w:szCs w:val="20"/>
        </w:rPr>
        <w:t>paragraph 2 provide</w:t>
      </w:r>
      <w:proofErr w:type="gramEnd"/>
      <w:r w:rsidRPr="00BE72CE">
        <w:rPr>
          <w:rFonts w:ascii="Times New Roman" w:hAnsi="Times New Roman" w:cs="Times New Roman"/>
          <w:sz w:val="20"/>
          <w:szCs w:val="20"/>
        </w:rPr>
        <w:t xml:space="preserve"> the auditor with such a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frame of reference.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4. The auditor’s determination of materiality is a matter of professional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judgment, and is affected by the auditor’s perception of the financial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information needs of users of the financial statements. In this context, it is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reasonable for the auditor to assume that users: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(a) Have a reasonable knowledge of business and economic activities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and accounting and a willingness to study the information in the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financial statements with reasonable diligence;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(b) Understand that financial statements are prepared, presented and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audited to levels of materiality;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(c) Recognize the uncertainties inherent in the measurement of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amounts based on the use of estimates, judgment and the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consideration of future events; and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(d) Make reasonable economic decisions on the basis of the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information in the financial statements.</w:t>
      </w:r>
    </w:p>
    <w:p w:rsidR="00E148B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5. The concept of materiality is applied by the auditor both in planning and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performing the audit, and in evaluating the effect of identified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on the audit and of uncorrected misstatements, if any, on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financial statements and in forming the opinion in the auditor’s report.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(Ref: Para. A1)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lastRenderedPageBreak/>
        <w:t>A1. In conducting an audit of financial statements, the overall objectives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auditor are to obtain reasonable assurance about whether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as a whole are free from material misstatement, whether due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fraud or error, thereby enabling the auditor to express an opinion on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financial statements are prepared, in all material respects,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with an applicable financial reporting framework; and to report on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statements, and communicate as required by the SAs, in accordance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auditor’s findings.6 The auditor obtains reasonable assurance by obtaining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sufficient appropriate audit evidence to reduce audit risk to an acceptably low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level7. Audit risk is the risk that the auditor expresses an inappropriate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opinion when the financial statements are materially misstated. Audit risk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function of the risks of material misstatement and detection risk8. Materiality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and audit risk are considered throughout the audit, in particular, when: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(a) Identifying and assessing the risks of material misstatement9;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(b) Determining the nature, timing and extent of further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procedures10; and</w:t>
      </w:r>
    </w:p>
    <w:p w:rsidR="0062787B" w:rsidRPr="00BE72CE" w:rsidRDefault="0062787B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(c) Evaluating the effect of uncorrected misstatements, if any,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and in forming the opinion in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report11.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6. In planning the audit, the auditor makes judgments about the size of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that will be considered material. These judgments provide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 basis for: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(a) Determining the nature, timing and extent of risk assessment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procedures;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(b) Identifying and assessing the risks of material misstatement; and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(c) Determining the nature, timing and extent of further audit procedures.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The materiality determined when planning the audit does not necessarily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establish an amount below which uncorrected misstatements, individually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or in aggregate, will always be evaluated as immaterial. The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circumstances related to some misstatements may cause the auditor to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evaluate them as material even if they are below materiality. Although, it is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not practicable to design audit procedures to detect misstatements that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could be material solely because of their nature, the auditor considers not</w:t>
      </w:r>
      <w:r w:rsidR="00BE72CE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only the size but also the nature of uncorrected misstatements, and the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particular circumstances of their occurrence, when evaluating their effect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on the financial statements.5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Effective Date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7. This SA is effective for audits of financial statements for periods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beginning on or after April 1, 2010.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Objective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8. The objective of the auditor is to apply the concept of materiality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appropriately in planning and performing the audit.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Definition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9. For purposes of the SAs, performance materiality means the amount or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amounts set by the auditor at less than materiality for the financial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as a whole to reduce to an appropriately low level the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probability that the aggregate of uncorrected and undetected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exceeds materiality for the financial statements as a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whole. If applicable, performance materiality also refers to the amount or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amounts set by the auditor at less than the materiality level or levels for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particular classes of transactions, account balances or disclosures.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Requirements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Determining Materiality and Performance Materiality when Planning the</w:t>
      </w:r>
      <w:r w:rsidR="0062787B" w:rsidRPr="006278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2787B">
        <w:rPr>
          <w:rFonts w:ascii="Times New Roman" w:hAnsi="Times New Roman" w:cs="Times New Roman"/>
          <w:b/>
          <w:sz w:val="20"/>
          <w:szCs w:val="20"/>
        </w:rPr>
        <w:t>Audit</w:t>
      </w:r>
    </w:p>
    <w:p w:rsidR="00E148B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lastRenderedPageBreak/>
        <w:t>10. When establishing the overall audit strategy, the auditor shall determine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for the financial statements as a whole. If, in the specific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circumstances of the entity, there is one or more particular classes of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account balances or disclosures for which misstatements of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lesser amounts than the materiality for the financial statements as a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whole could reasonably be expected to influence the economic decisions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of users taken on the basis of the financial statements, the auditor shall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also determine the materiality level or levels to be applied to those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particular classes of transactions, account balances or disclosures. (Ref: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Para. A2-A11)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A2. Determining materiality involves the exercise of professional judgment.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percentage is often applied to a chosen benchmark as a starting point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determining materiality for the financial statements as a whole. Factors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that may affect the identification of an appropriate benchmark include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following: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The elements of the financial statements (for example, assets,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liabilities, equity, revenue, expenses);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Whether there are items on which the attention of the users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particular entity’s financial statements tends to be focused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example, for the purpose of evaluating financial performance users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may tend to focus on profit, revenue or net assets);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The nature of the entity, where the entity is at in its life cycle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industry and economic environment in which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operates;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The entity’s ownership structure and the way it is financed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example, if an entity is financed solely by debt rather than equity,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users may put more emphasis on assets, and claims on them, than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on the entity’s earnings); and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The relative volatility of the benchmark.</w:t>
      </w:r>
      <w:proofErr w:type="gramEnd"/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A3. Examples of benchmarks that may be appropriate, depending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circumstances of the entity, include categories of reported income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as profit before tax, total revenue, gross profit and total expenses, total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equity or net asset value. Profit before tax from continuing operations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often used for profit-oriented entities. When profit before tax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continuing operations is volatile, other benchmarks may be more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appropriate, such as gross profit or total revenues.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A4. In relation to the chosen benchmark, relevant financial data ordinarily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includes prior periods’ financial results and financial positions, the period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E72CE">
        <w:rPr>
          <w:rFonts w:ascii="Times New Roman" w:hAnsi="Times New Roman" w:cs="Times New Roman"/>
          <w:sz w:val="20"/>
          <w:szCs w:val="20"/>
        </w:rPr>
        <w:t>to-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date financial results and financial position, and budgets or forecasts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for the current period, adjusted for significant changes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circumstances of the entity (for example, a significant business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acquisition) and relevant changes of conditions in the industry or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economic environment in which the entity operates. For example, when,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as a starting point, the materiality for the financial statements as a whole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is determined for a particular entity based on a percentage of profit before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tax from continuing operations, circumstances that give rise to an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exceptional decrease or increase in such profit may lead the auditor to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conclude that the materiality for the financial statements as a whole is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more appropriately determined using a normalized profit before tax from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continuing operations figure based on past results.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A5. Materiality relates to the financial statements on which the auditor is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reporting. Where the financial statements are prepared for a financial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reporting period of more or less than twelve months, such as may be the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case for a new entity or a change in the financial reporting period,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relates to the financial statements prepared for that financial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reporting period.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lastRenderedPageBreak/>
        <w:t>A6. Determining a percentage to be applied to a chosen benchmark involves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exercise of professional judgment. There is a relationship between the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percentage and the chosen benchmark, such that a percentage applied to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profit before tax from continuing operations will normally be higher than a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percentage applied to total revenue. For example, the auditor may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consider five percent of profit before tax from continuing operations to be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appropriate for a profit oriented entity in a manufacturing industry, while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auditor may consider one percent of total revenue or total expenses to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be appropriate for a not-for-profit entity. Higher or lower percentages,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however, may be deemed appropriate in different circumstances.</w:t>
      </w:r>
    </w:p>
    <w:p w:rsidR="0062787B" w:rsidRPr="00FC4E5C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4E5C">
        <w:rPr>
          <w:rFonts w:ascii="Times New Roman" w:hAnsi="Times New Roman" w:cs="Times New Roman"/>
          <w:b/>
          <w:sz w:val="20"/>
          <w:szCs w:val="20"/>
        </w:rPr>
        <w:t>Considerations Specific to Small Entities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A7. When an entity’s profit before tax from continuing operations is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consistently nominal, as might be the case for an owner-managed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business where the owner takes much of the profit before tax in the form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of remuneration, a benchmark such as profit before remuneration and tax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may be more relevant.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A8. In the case of certain entities, such as, Central/State governments and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 xml:space="preserve">related government entities (for example, agencies, boards, </w:t>
      </w:r>
      <w:proofErr w:type="gramStart"/>
      <w:r w:rsidRPr="00BE72CE">
        <w:rPr>
          <w:rFonts w:ascii="Times New Roman" w:hAnsi="Times New Roman" w:cs="Times New Roman"/>
          <w:sz w:val="20"/>
          <w:szCs w:val="20"/>
        </w:rPr>
        <w:t>commissions</w:t>
      </w:r>
      <w:proofErr w:type="gramEnd"/>
      <w:r w:rsidRPr="00BE72CE">
        <w:rPr>
          <w:rFonts w:ascii="Times New Roman" w:hAnsi="Times New Roman" w:cs="Times New Roman"/>
          <w:sz w:val="20"/>
          <w:szCs w:val="20"/>
        </w:rPr>
        <w:t>),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legislators and regulators are often the primary users of its financial statements.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Furthermore, the financial statements may be used to make decisions other than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economic decisions. The determination of materiality for the financial statements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as a whole (and, if applicable, materiality level or levels for particular classes of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account balances or disclosures) in an audit of the financial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of those entities may therefore be influenced by legislative and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regulatory requirements, and by the financial information needs of legislators and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public in relation to public utility programs/projects, such as, Accelerated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 xml:space="preserve">Irrigation Benefit Programme (AIBP), </w:t>
      </w:r>
      <w:proofErr w:type="spellStart"/>
      <w:r w:rsidRPr="00BE72CE">
        <w:rPr>
          <w:rFonts w:ascii="Times New Roman" w:hAnsi="Times New Roman" w:cs="Times New Roman"/>
          <w:sz w:val="20"/>
          <w:szCs w:val="20"/>
        </w:rPr>
        <w:t>Pradhan</w:t>
      </w:r>
      <w:proofErr w:type="spellEnd"/>
      <w:r w:rsidRPr="00BE72C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E72CE">
        <w:rPr>
          <w:rFonts w:ascii="Times New Roman" w:hAnsi="Times New Roman" w:cs="Times New Roman"/>
          <w:sz w:val="20"/>
          <w:szCs w:val="20"/>
        </w:rPr>
        <w:t>Mantri</w:t>
      </w:r>
      <w:proofErr w:type="spellEnd"/>
      <w:r w:rsidRPr="00BE72CE">
        <w:rPr>
          <w:rFonts w:ascii="Times New Roman" w:hAnsi="Times New Roman" w:cs="Times New Roman"/>
          <w:sz w:val="20"/>
          <w:szCs w:val="20"/>
        </w:rPr>
        <w:t xml:space="preserve"> Gram </w:t>
      </w:r>
      <w:proofErr w:type="spellStart"/>
      <w:r w:rsidRPr="00BE72CE">
        <w:rPr>
          <w:rFonts w:ascii="Times New Roman" w:hAnsi="Times New Roman" w:cs="Times New Roman"/>
          <w:sz w:val="20"/>
          <w:szCs w:val="20"/>
        </w:rPr>
        <w:t>Sadak</w:t>
      </w:r>
      <w:proofErr w:type="spellEnd"/>
      <w:r w:rsidRPr="00BE72C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E72CE">
        <w:rPr>
          <w:rFonts w:ascii="Times New Roman" w:hAnsi="Times New Roman" w:cs="Times New Roman"/>
          <w:sz w:val="20"/>
          <w:szCs w:val="20"/>
        </w:rPr>
        <w:t>Yojana</w:t>
      </w:r>
      <w:proofErr w:type="spellEnd"/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(PMGSY) undertaken by the Central/State governments or related government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entities 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A9. In an audit of the entities doing public utility programs/projects, total cost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or net cost (expenses less revenues or expenditure less receipts) may be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appropriate benchmarks for that particular program/project activity. Where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an entity has custody of the assets, assets may be an appropriate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benchmark.</w:t>
      </w:r>
    </w:p>
    <w:p w:rsidR="0062787B" w:rsidRPr="00FC4E5C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4E5C">
        <w:rPr>
          <w:rFonts w:ascii="Times New Roman" w:hAnsi="Times New Roman" w:cs="Times New Roman"/>
          <w:b/>
          <w:sz w:val="20"/>
          <w:szCs w:val="20"/>
        </w:rPr>
        <w:t>Materiality Level or Levels for Particular Classes of Transactions, Account</w:t>
      </w:r>
      <w:r w:rsidR="00FC4E5C" w:rsidRPr="00FC4E5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C4E5C">
        <w:rPr>
          <w:rFonts w:ascii="Times New Roman" w:hAnsi="Times New Roman" w:cs="Times New Roman"/>
          <w:b/>
          <w:sz w:val="20"/>
          <w:szCs w:val="20"/>
        </w:rPr>
        <w:t>Balances or Disclosures (Ref: Para. 10)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A10. Factors that may indicate the existence of one or more particular classes of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account balances or disclosures for which misstatements of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lesser amounts than materiality for the financial statements as a whole could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reasonably be expected to influence the economic decisions of users taken on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the basis of the financial statements include the following:</w:t>
      </w:r>
    </w:p>
    <w:p w:rsidR="0062787B" w:rsidRPr="00BE72CE" w:rsidRDefault="0062787B" w:rsidP="00FC4E5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Whether law, regulations or the applicable financial reporting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framework affect users’ expectations regarding the measurement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or disclosure of certain items (for example, related party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and the remuneration of management and those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charged with governance).</w:t>
      </w:r>
    </w:p>
    <w:p w:rsidR="0062787B" w:rsidRPr="00BE72CE" w:rsidRDefault="0062787B" w:rsidP="00FC4E5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The key disclosures in relation to the industry in which the entity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operates (for example, research and development costs for a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pharmaceutical company).</w:t>
      </w:r>
    </w:p>
    <w:p w:rsidR="0062787B" w:rsidRPr="00BE72CE" w:rsidRDefault="0062787B" w:rsidP="00FC4E5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</w:t>
      </w:r>
      <w:r w:rsidRPr="00BE72CE">
        <w:rPr>
          <w:rFonts w:ascii="Times New Roman" w:hAnsi="Times New Roman" w:cs="Times New Roman"/>
          <w:sz w:val="20"/>
          <w:szCs w:val="20"/>
        </w:rPr>
        <w:t>Whether attention is focused on a particular aspect of the entity’s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business that is separately disclosed in the financial statements (for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example, a newly acquired business).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lastRenderedPageBreak/>
        <w:t>A11. In considering whether, in the specific circumstances of the entity, such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classes of transactions, account balances or disclosures exist, the auditor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may find it useful to obtain an understanding of the views and</w:t>
      </w:r>
      <w:r w:rsidR="00FC4E5C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expectations of those charged with governance and management.</w:t>
      </w:r>
    </w:p>
    <w:p w:rsidR="0062787B" w:rsidRPr="00BE72CE" w:rsidRDefault="0062787B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48BE" w:rsidRDefault="00E148BE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11. The auditor shall determine performance materiality for purposes of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assessing the risks of material misstatement and determining the nature,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timing and extent of further audit procedures. (Ref: Para. A12)</w:t>
      </w:r>
    </w:p>
    <w:p w:rsidR="003579FA" w:rsidRPr="00BE72CE" w:rsidRDefault="003579FA" w:rsidP="0035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A12. Planning the audit solely to detect individually material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overlooks the fact that the aggregate of individually immaterial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may cause the financial statements to be materially misstated, and leaves no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margin for possible undetected misstatements. Performance materiality (which,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as defined, is one or more amounts) is set to reduce to an appropriately low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level the probability that the aggregate of uncorrected and undetected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in the financial statements exceeds materiality for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as a whole. Similarly, performance materiality relating to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level determined for a particular class of transactions, account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balance or disclosure is set to reduce to an appropriately low level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probability that the aggregate of uncorrected and undetected misstatements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that particular class of transactions, account balance or disclosure exceeds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level for that particular class of transactions, account balance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disclosure. The determination of performance materiality is not a simple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mechanical calculation and involves the exercise of professional judgment. It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affected by the auditor’s understanding of the entity, updated during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performance of the risk assessment procedures; and the nature and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misstatements identified in previous audits and thereby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expectations in relation to misstatements in the current period.</w:t>
      </w:r>
    </w:p>
    <w:p w:rsidR="00FC4E5C" w:rsidRPr="00BE72CE" w:rsidRDefault="00FC4E5C" w:rsidP="006278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Revision as the Audit Progresses</w:t>
      </w:r>
    </w:p>
    <w:p w:rsidR="00E148B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12. The auditor shall revise materiality for the financial statements as a whole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(and, if applicable, the materiality level or levels for particular classes of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account balances or disclosures) in the event of becoming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aware of information during the audit that would have caused the auditor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to have determined a different amount (or amounts) initially. (Ref: Para.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A13)</w:t>
      </w:r>
    </w:p>
    <w:p w:rsidR="003579FA" w:rsidRPr="00BE72CE" w:rsidRDefault="003579FA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A13. Materiality for the financial statements as a whole (and, if applicable, the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materiality level or levels for particular classes of transactions, account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balances or disclosures) may need to be revised as a result of a change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in circumstances that occurred during the audit (for example, a decision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to dispose of a major part of the entity’s business), new information, or a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change in the auditor’s understanding of the entity and its operations as a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result of performing further audit procedures. For example, if during the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audit it appears as though actual financial results are likely to be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substantially different from the anticipated period end financial results that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were used initially to determine materiality for the financial statements as</w:t>
      </w:r>
      <w:r w:rsidR="00B73C42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 whole, the auditor revises that materiality.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13. If the auditor concludes that a lower materiality for the financial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statements as a whole (and, if applicable, materiality level or levels for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particular classes of transactions, account balances or disclosures) than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that initially determined is appropriate, the auditor shall determine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whether it is necessary to revise performance materiality, and whether the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nature, timing and extent of the further audit procedures remain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appropriate.</w:t>
      </w:r>
    </w:p>
    <w:p w:rsidR="00E148BE" w:rsidRPr="0062787B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2787B">
        <w:rPr>
          <w:rFonts w:ascii="Times New Roman" w:hAnsi="Times New Roman" w:cs="Times New Roman"/>
          <w:b/>
          <w:sz w:val="20"/>
          <w:szCs w:val="20"/>
        </w:rPr>
        <w:t>Documentation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lastRenderedPageBreak/>
        <w:t>14. The audit documentation shall include the following amounts and the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factors considered in their determination: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(a) Materiality for the financial statements as a whole (see paragraph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10);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(b) If applicable, the materiality level or levels for particular classes of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transactions, account balances or disclosures (see paragraph 10);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(c) Performance materiality (see paragraph 11); and</w:t>
      </w:r>
    </w:p>
    <w:p w:rsidR="00E148BE" w:rsidRPr="00BE72CE" w:rsidRDefault="00E148BE" w:rsidP="00BE7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(d) Any revision of (a)-(c) as the audit progressed (see paragraphs</w:t>
      </w:r>
      <w:r w:rsidR="0062787B">
        <w:rPr>
          <w:rFonts w:ascii="Times New Roman" w:hAnsi="Times New Roman" w:cs="Times New Roman"/>
          <w:sz w:val="20"/>
          <w:szCs w:val="20"/>
        </w:rPr>
        <w:t xml:space="preserve"> </w:t>
      </w:r>
      <w:r w:rsidRPr="00BE72CE">
        <w:rPr>
          <w:rFonts w:ascii="Times New Roman" w:hAnsi="Times New Roman" w:cs="Times New Roman"/>
          <w:sz w:val="20"/>
          <w:szCs w:val="20"/>
        </w:rPr>
        <w:t>12-13).</w:t>
      </w:r>
    </w:p>
    <w:p w:rsidR="00E148BE" w:rsidRDefault="00E148BE" w:rsidP="0062787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72CE">
        <w:rPr>
          <w:rFonts w:ascii="Times New Roman" w:hAnsi="Times New Roman" w:cs="Times New Roman"/>
          <w:sz w:val="20"/>
          <w:szCs w:val="20"/>
        </w:rPr>
        <w:t>* * *</w:t>
      </w:r>
    </w:p>
    <w:p w:rsidR="0062787B" w:rsidRPr="00BE72CE" w:rsidRDefault="0062787B" w:rsidP="0062787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2787B" w:rsidRPr="00BE72CE" w:rsidSect="0062787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BE"/>
    <w:rsid w:val="003579FA"/>
    <w:rsid w:val="0062787B"/>
    <w:rsid w:val="00942E0D"/>
    <w:rsid w:val="00B73C42"/>
    <w:rsid w:val="00BE72CE"/>
    <w:rsid w:val="00E05553"/>
    <w:rsid w:val="00E148BE"/>
    <w:rsid w:val="00FC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5</cp:revision>
  <dcterms:created xsi:type="dcterms:W3CDTF">2011-09-03T14:55:00Z</dcterms:created>
  <dcterms:modified xsi:type="dcterms:W3CDTF">2011-09-14T17:10:00Z</dcterms:modified>
</cp:coreProperties>
</file>